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F3EC" w14:textId="77777777" w:rsidR="004937AB" w:rsidRDefault="00EC31ED">
      <w:pPr>
        <w:spacing w:before="67"/>
        <w:ind w:left="109"/>
        <w:rPr>
          <w:color w:val="00827E"/>
          <w:spacing w:val="-30"/>
          <w:sz w:val="44"/>
          <w:szCs w:val="44"/>
        </w:rPr>
      </w:pPr>
      <w:r w:rsidRPr="000C169F">
        <w:rPr>
          <w:color w:val="00827E"/>
          <w:spacing w:val="-30"/>
          <w:sz w:val="44"/>
          <w:szCs w:val="44"/>
        </w:rPr>
        <w:t xml:space="preserve">Trinsic </w:t>
      </w:r>
    </w:p>
    <w:p w14:paraId="3E90877E" w14:textId="77777777" w:rsidR="00C9625F" w:rsidRPr="00720F71" w:rsidRDefault="00EC31ED">
      <w:pPr>
        <w:spacing w:before="67"/>
        <w:ind w:left="109"/>
        <w:rPr>
          <w:rFonts w:ascii="Arial" w:hAnsi="Arial" w:cs="Arial"/>
          <w:sz w:val="20"/>
          <w:szCs w:val="20"/>
        </w:rPr>
      </w:pPr>
      <w:r w:rsidRPr="000C169F">
        <w:rPr>
          <w:color w:val="00827E"/>
          <w:spacing w:val="-32"/>
          <w:sz w:val="44"/>
          <w:szCs w:val="44"/>
        </w:rPr>
        <w:t>Talking</w:t>
      </w:r>
      <w:r w:rsidR="00720F71" w:rsidRPr="004937AB">
        <w:rPr>
          <w:rFonts w:ascii="Arial" w:hAnsi="Arial" w:cs="Arial"/>
          <w:b/>
          <w:color w:val="57585B"/>
          <w:sz w:val="44"/>
          <w:szCs w:val="44"/>
        </w:rPr>
        <w:t xml:space="preserve"> </w:t>
      </w:r>
      <w:r w:rsidRPr="004937AB">
        <w:rPr>
          <w:rFonts w:ascii="Arial" w:hAnsi="Arial" w:cs="Arial"/>
          <w:color w:val="00827E"/>
          <w:spacing w:val="-24"/>
          <w:sz w:val="44"/>
          <w:szCs w:val="44"/>
        </w:rPr>
        <w:t>Points</w:t>
      </w:r>
    </w:p>
    <w:p w14:paraId="49AAAFAF" w14:textId="0D532C8D" w:rsidR="00C9625F" w:rsidRPr="00A66EC9" w:rsidRDefault="00EE6AE5">
      <w:pPr>
        <w:spacing w:before="173"/>
        <w:ind w:left="217"/>
        <w:rPr>
          <w:rFonts w:ascii="Arial" w:hAnsi="Arial" w:cs="Arial"/>
          <w:color w:val="58595C"/>
          <w:sz w:val="20"/>
          <w:szCs w:val="20"/>
        </w:rPr>
      </w:pPr>
      <w:r>
        <w:rPr>
          <w:rFonts w:ascii="Arial" w:hAnsi="Arial" w:cs="Arial"/>
          <w:color w:val="58595C"/>
          <w:sz w:val="20"/>
          <w:szCs w:val="20"/>
        </w:rPr>
        <w:t>Issue 3.0, 11/2</w:t>
      </w:r>
      <w:r w:rsidR="00AB77E2" w:rsidRPr="00A66EC9">
        <w:rPr>
          <w:rFonts w:ascii="Arial" w:hAnsi="Arial" w:cs="Arial"/>
          <w:color w:val="58595C"/>
          <w:sz w:val="20"/>
          <w:szCs w:val="20"/>
        </w:rPr>
        <w:t>/2023</w:t>
      </w:r>
    </w:p>
    <w:p w14:paraId="3422AE48" w14:textId="77777777" w:rsidR="00B60C4F" w:rsidRPr="00A66EC9" w:rsidRDefault="00B60C4F">
      <w:pPr>
        <w:spacing w:before="173"/>
        <w:ind w:left="217"/>
        <w:rPr>
          <w:rFonts w:ascii="Arial" w:hAnsi="Arial" w:cs="Arial"/>
          <w:color w:val="58595C"/>
          <w:sz w:val="20"/>
          <w:szCs w:val="20"/>
        </w:rPr>
      </w:pPr>
    </w:p>
    <w:p w14:paraId="3184D49A" w14:textId="77777777" w:rsidR="00B60C4F" w:rsidRPr="00A66EC9" w:rsidRDefault="00B60C4F" w:rsidP="00B60C4F">
      <w:pPr>
        <w:tabs>
          <w:tab w:val="left" w:pos="477"/>
        </w:tabs>
        <w:spacing w:before="60" w:line="271" w:lineRule="auto"/>
        <w:ind w:right="84"/>
        <w:rPr>
          <w:rFonts w:ascii="Arial" w:hAnsi="Arial" w:cs="Arial"/>
          <w:color w:val="58595C"/>
          <w:sz w:val="20"/>
          <w:szCs w:val="20"/>
        </w:rPr>
      </w:pPr>
      <w:r w:rsidRPr="00A66EC9">
        <w:rPr>
          <w:rFonts w:ascii="Arial" w:hAnsi="Arial" w:cs="Arial"/>
          <w:color w:val="58595C"/>
          <w:sz w:val="20"/>
          <w:szCs w:val="20"/>
        </w:rPr>
        <w:t>Trinsic is the name of the clinically integrated network (CIN) developed to</w:t>
      </w:r>
      <w:r w:rsidRPr="00A66EC9">
        <w:rPr>
          <w:rFonts w:ascii="Arial" w:hAnsi="Arial" w:cs="Arial"/>
          <w:color w:val="58595C"/>
          <w:spacing w:val="-24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reduce</w:t>
      </w:r>
      <w:r w:rsidRPr="00A66EC9">
        <w:rPr>
          <w:rFonts w:ascii="Arial" w:hAnsi="Arial" w:cs="Arial"/>
          <w:color w:val="58595C"/>
          <w:spacing w:val="-24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pacing w:val="3"/>
          <w:sz w:val="20"/>
          <w:szCs w:val="20"/>
        </w:rPr>
        <w:t>costs</w:t>
      </w:r>
      <w:r w:rsidRPr="00A66EC9">
        <w:rPr>
          <w:rFonts w:ascii="Arial" w:hAnsi="Arial" w:cs="Arial"/>
          <w:color w:val="58595C"/>
          <w:spacing w:val="-24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and</w:t>
      </w:r>
      <w:r w:rsidRPr="00A66EC9">
        <w:rPr>
          <w:rFonts w:ascii="Arial" w:hAnsi="Arial" w:cs="Arial"/>
          <w:color w:val="58595C"/>
          <w:spacing w:val="-24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redundancy</w:t>
      </w:r>
      <w:r w:rsidRPr="00A66EC9">
        <w:rPr>
          <w:rFonts w:ascii="Arial" w:hAnsi="Arial" w:cs="Arial"/>
          <w:color w:val="58595C"/>
          <w:spacing w:val="-24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in healthcare</w:t>
      </w:r>
      <w:r w:rsidRPr="00A66EC9">
        <w:rPr>
          <w:rFonts w:ascii="Arial" w:hAnsi="Arial" w:cs="Arial"/>
          <w:color w:val="58595C"/>
          <w:spacing w:val="-20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delivery</w:t>
      </w:r>
      <w:r w:rsidRPr="00A66EC9">
        <w:rPr>
          <w:rFonts w:ascii="Arial" w:hAnsi="Arial" w:cs="Arial"/>
          <w:color w:val="58595C"/>
          <w:spacing w:val="-19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operations</w:t>
      </w:r>
      <w:r w:rsidRPr="00A66EC9">
        <w:rPr>
          <w:rFonts w:ascii="Arial" w:hAnsi="Arial" w:cs="Arial"/>
          <w:color w:val="58595C"/>
          <w:spacing w:val="-20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for</w:t>
      </w:r>
      <w:r w:rsidRPr="00A66EC9">
        <w:rPr>
          <w:rFonts w:ascii="Arial" w:hAnsi="Arial" w:cs="Arial"/>
          <w:color w:val="58595C"/>
          <w:spacing w:val="-20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pacing w:val="2"/>
          <w:sz w:val="20"/>
          <w:szCs w:val="20"/>
        </w:rPr>
        <w:t>its’</w:t>
      </w:r>
      <w:r w:rsidRPr="00A66EC9">
        <w:rPr>
          <w:rFonts w:ascii="Arial" w:hAnsi="Arial" w:cs="Arial"/>
          <w:color w:val="58595C"/>
          <w:spacing w:val="-19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members.</w:t>
      </w:r>
    </w:p>
    <w:p w14:paraId="4FDCE69F" w14:textId="77777777" w:rsidR="00AB77E2" w:rsidRPr="00A66EC9" w:rsidRDefault="00B60C4F" w:rsidP="00B60C4F">
      <w:pPr>
        <w:spacing w:before="173"/>
        <w:rPr>
          <w:rFonts w:ascii="Arial" w:hAnsi="Arial" w:cs="Arial"/>
          <w:color w:val="58595C"/>
          <w:sz w:val="20"/>
          <w:szCs w:val="20"/>
        </w:rPr>
      </w:pPr>
      <w:r w:rsidRPr="00A66EC9">
        <w:rPr>
          <w:rFonts w:ascii="Arial" w:hAnsi="Arial" w:cs="Arial"/>
          <w:color w:val="58595C"/>
          <w:sz w:val="20"/>
          <w:szCs w:val="20"/>
        </w:rPr>
        <w:t>It</w:t>
      </w:r>
      <w:r w:rsidRPr="00A66EC9">
        <w:rPr>
          <w:rFonts w:ascii="Arial" w:hAnsi="Arial" w:cs="Arial"/>
          <w:color w:val="58595C"/>
          <w:spacing w:val="-29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promotes</w:t>
      </w:r>
      <w:r w:rsidRPr="00A66EC9">
        <w:rPr>
          <w:rFonts w:ascii="Arial" w:hAnsi="Arial" w:cs="Arial"/>
          <w:color w:val="58595C"/>
          <w:spacing w:val="-29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the</w:t>
      </w:r>
      <w:r w:rsidRPr="00A66EC9">
        <w:rPr>
          <w:rFonts w:ascii="Arial" w:hAnsi="Arial" w:cs="Arial"/>
          <w:color w:val="58595C"/>
          <w:spacing w:val="-28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CIN</w:t>
      </w:r>
      <w:r w:rsidRPr="00A66EC9">
        <w:rPr>
          <w:rFonts w:ascii="Arial" w:hAnsi="Arial" w:cs="Arial"/>
          <w:color w:val="58595C"/>
          <w:spacing w:val="-29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payment</w:t>
      </w:r>
      <w:r w:rsidRPr="00A66EC9">
        <w:rPr>
          <w:rFonts w:ascii="Arial" w:hAnsi="Arial" w:cs="Arial"/>
          <w:color w:val="58595C"/>
          <w:spacing w:val="-29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model</w:t>
      </w:r>
      <w:r w:rsidRPr="00A66EC9">
        <w:rPr>
          <w:rFonts w:ascii="Arial" w:hAnsi="Arial" w:cs="Arial"/>
          <w:color w:val="58595C"/>
          <w:spacing w:val="-28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that</w:t>
      </w:r>
      <w:r w:rsidRPr="00A66EC9">
        <w:rPr>
          <w:rFonts w:ascii="Arial" w:hAnsi="Arial" w:cs="Arial"/>
          <w:color w:val="58595C"/>
          <w:spacing w:val="-29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rewards</w:t>
      </w:r>
      <w:r w:rsidRPr="00A66EC9">
        <w:rPr>
          <w:rFonts w:ascii="Arial" w:hAnsi="Arial" w:cs="Arial"/>
          <w:color w:val="58595C"/>
          <w:spacing w:val="-29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value rather than</w:t>
      </w:r>
      <w:r w:rsidRPr="00A66EC9">
        <w:rPr>
          <w:rFonts w:ascii="Arial" w:hAnsi="Arial" w:cs="Arial"/>
          <w:color w:val="58595C"/>
          <w:spacing w:val="-27"/>
          <w:sz w:val="20"/>
          <w:szCs w:val="20"/>
        </w:rPr>
        <w:t xml:space="preserve"> </w:t>
      </w:r>
      <w:r w:rsidRPr="00A66EC9">
        <w:rPr>
          <w:rFonts w:ascii="Arial" w:hAnsi="Arial" w:cs="Arial"/>
          <w:color w:val="58595C"/>
          <w:sz w:val="20"/>
          <w:szCs w:val="20"/>
        </w:rPr>
        <w:t>volume.  Currently Trinsic is in the process of building it</w:t>
      </w:r>
      <w:r w:rsidR="00121568" w:rsidRPr="00A66EC9">
        <w:rPr>
          <w:rFonts w:ascii="Arial" w:hAnsi="Arial" w:cs="Arial"/>
          <w:color w:val="58595C"/>
          <w:sz w:val="20"/>
          <w:szCs w:val="20"/>
        </w:rPr>
        <w:t>s’</w:t>
      </w:r>
      <w:r w:rsidRPr="00A66EC9">
        <w:rPr>
          <w:rFonts w:ascii="Arial" w:hAnsi="Arial" w:cs="Arial"/>
          <w:color w:val="58595C"/>
          <w:sz w:val="20"/>
          <w:szCs w:val="20"/>
        </w:rPr>
        <w:t xml:space="preserve"> infrastructure and is focused on Primary Care physicians.  Future plans will involve the inclusion of Specialists.</w:t>
      </w:r>
    </w:p>
    <w:p w14:paraId="688830F5" w14:textId="77777777" w:rsidR="00AB77E2" w:rsidRPr="00A66EC9" w:rsidRDefault="00AB77E2">
      <w:pPr>
        <w:spacing w:before="173"/>
        <w:ind w:left="217"/>
        <w:rPr>
          <w:rFonts w:ascii="Arial" w:hAnsi="Arial" w:cs="Arial"/>
          <w:b/>
          <w:color w:val="58595C"/>
          <w:sz w:val="20"/>
          <w:szCs w:val="20"/>
        </w:rPr>
      </w:pPr>
      <w:r w:rsidRPr="00A66EC9">
        <w:rPr>
          <w:rFonts w:ascii="Arial" w:hAnsi="Arial" w:cs="Arial"/>
          <w:b/>
          <w:color w:val="58595C"/>
          <w:sz w:val="20"/>
          <w:szCs w:val="20"/>
        </w:rPr>
        <w:t>What is the role of specialists in a value-based care</w:t>
      </w:r>
      <w:r w:rsidR="00F86201" w:rsidRPr="00A66EC9">
        <w:rPr>
          <w:rFonts w:ascii="Arial" w:hAnsi="Arial" w:cs="Arial"/>
          <w:b/>
          <w:color w:val="58595C"/>
          <w:sz w:val="20"/>
          <w:szCs w:val="20"/>
        </w:rPr>
        <w:t xml:space="preserve"> (VBC)</w:t>
      </w:r>
      <w:r w:rsidRPr="00A66EC9">
        <w:rPr>
          <w:rFonts w:ascii="Arial" w:hAnsi="Arial" w:cs="Arial"/>
          <w:b/>
          <w:color w:val="58595C"/>
          <w:sz w:val="20"/>
          <w:szCs w:val="20"/>
        </w:rPr>
        <w:t>?</w:t>
      </w:r>
    </w:p>
    <w:p w14:paraId="4BCB26FB" w14:textId="1DC94F0E" w:rsidR="00AB77E2" w:rsidRPr="00EE6AE5" w:rsidRDefault="00EE6AE5" w:rsidP="00B60C4F">
      <w:pPr>
        <w:pStyle w:val="ListParagraph"/>
        <w:numPr>
          <w:ilvl w:val="0"/>
          <w:numId w:val="3"/>
        </w:numPr>
        <w:spacing w:before="173"/>
        <w:rPr>
          <w:rFonts w:ascii="Arial" w:hAnsi="Arial" w:cs="Arial"/>
          <w:color w:val="58595C"/>
          <w:sz w:val="18"/>
          <w:szCs w:val="18"/>
        </w:rPr>
      </w:pPr>
      <w:r w:rsidRPr="00EE6AE5">
        <w:rPr>
          <w:rFonts w:ascii="Arial" w:hAnsi="Arial" w:cs="Arial"/>
          <w:color w:val="58595C"/>
          <w:sz w:val="18"/>
          <w:szCs w:val="18"/>
          <w:u w:val="single"/>
        </w:rPr>
        <w:t>Collaboration on continuous improvement</w:t>
      </w:r>
      <w:r w:rsidRPr="00EE6AE5">
        <w:rPr>
          <w:rFonts w:ascii="Arial" w:hAnsi="Arial" w:cs="Arial"/>
          <w:color w:val="58595C"/>
          <w:sz w:val="18"/>
          <w:szCs w:val="18"/>
        </w:rPr>
        <w:t xml:space="preserve">. </w:t>
      </w:r>
      <w:r w:rsidR="00AB77E2" w:rsidRPr="00EE6AE5">
        <w:rPr>
          <w:rFonts w:ascii="Arial" w:hAnsi="Arial" w:cs="Arial"/>
          <w:color w:val="58595C"/>
          <w:sz w:val="18"/>
          <w:szCs w:val="18"/>
        </w:rPr>
        <w:t>Specialists are key partners for delivering value-based care especially for patients with chronic diseases.</w:t>
      </w:r>
    </w:p>
    <w:p w14:paraId="4BA34E50" w14:textId="29482A16" w:rsidR="005553A7" w:rsidRPr="00EE6AE5" w:rsidRDefault="00EE6AE5" w:rsidP="00B60C4F">
      <w:pPr>
        <w:pStyle w:val="ListParagraph"/>
        <w:numPr>
          <w:ilvl w:val="0"/>
          <w:numId w:val="3"/>
        </w:numPr>
        <w:spacing w:before="173"/>
        <w:rPr>
          <w:rFonts w:ascii="Arial" w:hAnsi="Arial" w:cs="Arial"/>
          <w:color w:val="58595C"/>
          <w:sz w:val="18"/>
          <w:szCs w:val="18"/>
        </w:rPr>
      </w:pPr>
      <w:r w:rsidRPr="00EE6AE5">
        <w:rPr>
          <w:rFonts w:ascii="Arial" w:hAnsi="Arial" w:cs="Arial"/>
          <w:color w:val="58595C"/>
          <w:sz w:val="18"/>
          <w:szCs w:val="18"/>
          <w:u w:val="single"/>
        </w:rPr>
        <w:t>Use of lowest appropriate site of care</w:t>
      </w:r>
      <w:r w:rsidRPr="00EE6AE5">
        <w:rPr>
          <w:rFonts w:ascii="Arial" w:hAnsi="Arial" w:cs="Arial"/>
          <w:color w:val="58595C"/>
          <w:sz w:val="18"/>
          <w:szCs w:val="18"/>
        </w:rPr>
        <w:t xml:space="preserve">. </w:t>
      </w:r>
      <w:r w:rsidR="00F86201" w:rsidRPr="00EE6AE5">
        <w:rPr>
          <w:rFonts w:ascii="Arial" w:hAnsi="Arial" w:cs="Arial"/>
          <w:color w:val="58595C"/>
          <w:sz w:val="18"/>
          <w:szCs w:val="18"/>
        </w:rPr>
        <w:t>Specialists who car</w:t>
      </w:r>
      <w:r w:rsidR="005553A7" w:rsidRPr="00EE6AE5">
        <w:rPr>
          <w:rFonts w:ascii="Arial" w:hAnsi="Arial" w:cs="Arial"/>
          <w:color w:val="58595C"/>
          <w:sz w:val="18"/>
          <w:szCs w:val="18"/>
        </w:rPr>
        <w:t>e for patients with complex, chronic medical condition</w:t>
      </w:r>
      <w:r w:rsidR="00F86201" w:rsidRPr="00EE6AE5">
        <w:rPr>
          <w:rFonts w:ascii="Arial" w:hAnsi="Arial" w:cs="Arial"/>
          <w:color w:val="58595C"/>
          <w:sz w:val="18"/>
          <w:szCs w:val="18"/>
        </w:rPr>
        <w:t xml:space="preserve"> influence overall cost of care (</w:t>
      </w:r>
      <w:proofErr w:type="spellStart"/>
      <w:r w:rsidR="00F86201" w:rsidRPr="00EE6AE5">
        <w:rPr>
          <w:rFonts w:ascii="Arial" w:hAnsi="Arial" w:cs="Arial"/>
          <w:color w:val="58595C"/>
          <w:sz w:val="18"/>
          <w:szCs w:val="18"/>
        </w:rPr>
        <w:t>ie</w:t>
      </w:r>
      <w:proofErr w:type="spellEnd"/>
      <w:r w:rsidR="00F86201" w:rsidRPr="00EE6AE5">
        <w:rPr>
          <w:rFonts w:ascii="Arial" w:hAnsi="Arial" w:cs="Arial"/>
          <w:color w:val="58595C"/>
          <w:sz w:val="18"/>
          <w:szCs w:val="18"/>
        </w:rPr>
        <w:t xml:space="preserve">: chronic care management amounts to </w:t>
      </w:r>
      <w:r w:rsidR="005553A7" w:rsidRPr="00EE6AE5">
        <w:rPr>
          <w:rFonts w:ascii="Arial" w:hAnsi="Arial" w:cs="Arial"/>
          <w:color w:val="58595C"/>
          <w:sz w:val="18"/>
          <w:szCs w:val="18"/>
        </w:rPr>
        <w:t>$220 billion in healthcare spending annually</w:t>
      </w:r>
      <w:r w:rsidR="00F86201" w:rsidRPr="00EE6AE5">
        <w:rPr>
          <w:rFonts w:ascii="Arial" w:hAnsi="Arial" w:cs="Arial"/>
          <w:color w:val="58595C"/>
          <w:sz w:val="18"/>
          <w:szCs w:val="18"/>
        </w:rPr>
        <w:t>)</w:t>
      </w:r>
      <w:r w:rsidR="005553A7" w:rsidRPr="00EE6AE5">
        <w:rPr>
          <w:rFonts w:ascii="Arial" w:hAnsi="Arial" w:cs="Arial"/>
          <w:color w:val="58595C"/>
          <w:sz w:val="18"/>
          <w:szCs w:val="18"/>
        </w:rPr>
        <w:t>. A large propo</w:t>
      </w:r>
      <w:r w:rsidR="00F86201" w:rsidRPr="00EE6AE5">
        <w:rPr>
          <w:rFonts w:ascii="Arial" w:hAnsi="Arial" w:cs="Arial"/>
          <w:color w:val="58595C"/>
          <w:sz w:val="18"/>
          <w:szCs w:val="18"/>
        </w:rPr>
        <w:t>rtion of this cost is variable and could</w:t>
      </w:r>
      <w:r w:rsidR="00ED1EE6" w:rsidRPr="00EE6AE5">
        <w:rPr>
          <w:rFonts w:ascii="Arial" w:hAnsi="Arial" w:cs="Arial"/>
          <w:color w:val="58595C"/>
          <w:sz w:val="18"/>
          <w:szCs w:val="18"/>
        </w:rPr>
        <w:t xml:space="preserve"> be reduced if patients are kept out of acute care settings.</w:t>
      </w:r>
    </w:p>
    <w:p w14:paraId="530038D0" w14:textId="56955DD2" w:rsidR="00ED1EE6" w:rsidRPr="00EE6AE5" w:rsidRDefault="00EE6AE5" w:rsidP="00B60C4F">
      <w:pPr>
        <w:pStyle w:val="ListParagraph"/>
        <w:numPr>
          <w:ilvl w:val="0"/>
          <w:numId w:val="3"/>
        </w:numPr>
        <w:spacing w:before="173"/>
        <w:rPr>
          <w:rFonts w:ascii="Arial" w:hAnsi="Arial" w:cs="Arial"/>
          <w:color w:val="58595C"/>
          <w:sz w:val="18"/>
          <w:szCs w:val="18"/>
        </w:rPr>
      </w:pPr>
      <w:r w:rsidRPr="00EE6AE5">
        <w:rPr>
          <w:rFonts w:ascii="Arial" w:hAnsi="Arial" w:cs="Arial"/>
          <w:color w:val="58595C"/>
          <w:sz w:val="18"/>
          <w:szCs w:val="18"/>
          <w:u w:val="single"/>
          <w:shd w:val="clear" w:color="auto" w:fill="FFFFFF"/>
        </w:rPr>
        <w:t>Furthering evidence-based practice and patient centeredness.</w:t>
      </w:r>
      <w:r w:rsidRPr="00EE6AE5">
        <w:rPr>
          <w:rFonts w:ascii="Arial" w:hAnsi="Arial" w:cs="Arial"/>
          <w:color w:val="58595C"/>
          <w:sz w:val="18"/>
          <w:szCs w:val="18"/>
          <w:shd w:val="clear" w:color="auto" w:fill="FFFFFF"/>
        </w:rPr>
        <w:t xml:space="preserve"> </w:t>
      </w:r>
      <w:r w:rsidR="00ED1EE6" w:rsidRPr="00EE6AE5">
        <w:rPr>
          <w:rFonts w:ascii="Arial" w:hAnsi="Arial" w:cs="Arial"/>
          <w:color w:val="58595C"/>
          <w:sz w:val="18"/>
          <w:szCs w:val="18"/>
          <w:shd w:val="clear" w:color="auto" w:fill="FFFFFF"/>
        </w:rPr>
        <w:t>Under value-based care agreements, providers are rewarded for </w:t>
      </w:r>
      <w:r w:rsidR="00ED1EE6" w:rsidRPr="00EE6AE5">
        <w:rPr>
          <w:rFonts w:ascii="Arial" w:hAnsi="Arial" w:cs="Arial"/>
          <w:color w:val="58595C"/>
          <w:sz w:val="18"/>
          <w:szCs w:val="18"/>
        </w:rPr>
        <w:t>helping patients improve their health, reduce the effects and incidence of chronic disease and live healthier lives in an evidence-based way</w:t>
      </w:r>
      <w:r w:rsidR="00ED1EE6" w:rsidRPr="00EE6AE5">
        <w:rPr>
          <w:rFonts w:ascii="Arial" w:hAnsi="Arial" w:cs="Arial"/>
          <w:color w:val="58595C"/>
          <w:sz w:val="18"/>
          <w:szCs w:val="18"/>
          <w:shd w:val="clear" w:color="auto" w:fill="FFFFFF"/>
        </w:rPr>
        <w:t>.</w:t>
      </w:r>
    </w:p>
    <w:p w14:paraId="4A907707" w14:textId="6AB3D629" w:rsidR="00ED1EE6" w:rsidRPr="00EE6AE5" w:rsidRDefault="00EE6AE5" w:rsidP="00B60C4F">
      <w:pPr>
        <w:pStyle w:val="ListParagraph"/>
        <w:numPr>
          <w:ilvl w:val="0"/>
          <w:numId w:val="3"/>
        </w:numPr>
        <w:spacing w:before="173"/>
        <w:rPr>
          <w:rFonts w:ascii="Arial" w:hAnsi="Arial" w:cs="Arial"/>
          <w:color w:val="58595C"/>
          <w:sz w:val="18"/>
          <w:szCs w:val="18"/>
        </w:rPr>
      </w:pPr>
      <w:r w:rsidRPr="00EE6AE5">
        <w:rPr>
          <w:rFonts w:ascii="Arial" w:hAnsi="Arial" w:cs="Arial"/>
          <w:color w:val="58595C"/>
          <w:sz w:val="18"/>
          <w:szCs w:val="18"/>
          <w:u w:val="single"/>
          <w:shd w:val="clear" w:color="auto" w:fill="FFFFFF"/>
        </w:rPr>
        <w:t>Embracing robust data usage and performance metrics</w:t>
      </w:r>
      <w:r w:rsidRPr="00EE6AE5">
        <w:rPr>
          <w:rFonts w:ascii="Arial" w:hAnsi="Arial" w:cs="Arial"/>
          <w:color w:val="58595C"/>
          <w:sz w:val="18"/>
          <w:szCs w:val="18"/>
          <w:shd w:val="clear" w:color="auto" w:fill="FFFFFF"/>
        </w:rPr>
        <w:t xml:space="preserve">. </w:t>
      </w:r>
      <w:r w:rsidR="00ED1EE6" w:rsidRPr="00EE6AE5">
        <w:rPr>
          <w:rFonts w:ascii="Arial" w:hAnsi="Arial" w:cs="Arial"/>
          <w:color w:val="58595C"/>
          <w:sz w:val="18"/>
          <w:szCs w:val="18"/>
          <w:shd w:val="clear" w:color="auto" w:fill="FFFFFF"/>
        </w:rPr>
        <w:t>Unlike the traditional fee for service model, value-base</w:t>
      </w:r>
      <w:r w:rsidR="001008FD" w:rsidRPr="00EE6AE5">
        <w:rPr>
          <w:rFonts w:ascii="Arial" w:hAnsi="Arial" w:cs="Arial"/>
          <w:color w:val="58595C"/>
          <w:sz w:val="18"/>
          <w:szCs w:val="18"/>
          <w:shd w:val="clear" w:color="auto" w:fill="FFFFFF"/>
        </w:rPr>
        <w:t>d care is driven by data and</w:t>
      </w:r>
      <w:r w:rsidR="00ED1EE6" w:rsidRPr="00EE6AE5">
        <w:rPr>
          <w:rFonts w:ascii="Arial" w:hAnsi="Arial" w:cs="Arial"/>
          <w:color w:val="58595C"/>
          <w:sz w:val="18"/>
          <w:szCs w:val="18"/>
          <w:shd w:val="clear" w:color="auto" w:fill="FFFFFF"/>
        </w:rPr>
        <w:t xml:space="preserve"> providers must report to payers on specific metrics and demonstrate improvement. As part of a CIN, Trinsic tracks and reports on hospital readmissions, adverse events, population health, patient engage</w:t>
      </w:r>
      <w:r w:rsidR="001008FD" w:rsidRPr="00EE6AE5">
        <w:rPr>
          <w:rFonts w:ascii="Arial" w:hAnsi="Arial" w:cs="Arial"/>
          <w:color w:val="58595C"/>
          <w:sz w:val="18"/>
          <w:szCs w:val="18"/>
          <w:shd w:val="clear" w:color="auto" w:fill="FFFFFF"/>
        </w:rPr>
        <w:t>ment, and more on behalf of its’</w:t>
      </w:r>
      <w:r w:rsidR="00ED1EE6" w:rsidRPr="00EE6AE5">
        <w:rPr>
          <w:rFonts w:ascii="Arial" w:hAnsi="Arial" w:cs="Arial"/>
          <w:color w:val="58595C"/>
          <w:sz w:val="18"/>
          <w:szCs w:val="18"/>
          <w:shd w:val="clear" w:color="auto" w:fill="FFFFFF"/>
        </w:rPr>
        <w:t xml:space="preserve"> partner practices.</w:t>
      </w:r>
    </w:p>
    <w:p w14:paraId="23331DDD" w14:textId="7508F7C8" w:rsidR="005553A7" w:rsidRPr="00EE6AE5" w:rsidRDefault="00EE6AE5" w:rsidP="00B60C4F">
      <w:pPr>
        <w:pStyle w:val="ListParagraph"/>
        <w:numPr>
          <w:ilvl w:val="0"/>
          <w:numId w:val="3"/>
        </w:numPr>
        <w:spacing w:before="173"/>
        <w:rPr>
          <w:rFonts w:ascii="Arial" w:hAnsi="Arial" w:cs="Arial"/>
          <w:color w:val="58595C"/>
          <w:sz w:val="18"/>
          <w:szCs w:val="18"/>
        </w:rPr>
      </w:pPr>
      <w:r w:rsidRPr="00EE6AE5">
        <w:rPr>
          <w:rFonts w:ascii="Arial" w:hAnsi="Arial" w:cs="Arial"/>
          <w:color w:val="58595C"/>
          <w:sz w:val="18"/>
          <w:szCs w:val="18"/>
          <w:u w:val="single"/>
        </w:rPr>
        <w:t>Participation in pathway development</w:t>
      </w:r>
      <w:r w:rsidRPr="00EE6AE5">
        <w:rPr>
          <w:rFonts w:ascii="Arial" w:hAnsi="Arial" w:cs="Arial"/>
          <w:color w:val="58595C"/>
          <w:sz w:val="18"/>
          <w:szCs w:val="18"/>
        </w:rPr>
        <w:t xml:space="preserve">. </w:t>
      </w:r>
      <w:r w:rsidR="005553A7" w:rsidRPr="00EE6AE5">
        <w:rPr>
          <w:rFonts w:ascii="Arial" w:hAnsi="Arial" w:cs="Arial"/>
          <w:color w:val="58595C"/>
          <w:sz w:val="18"/>
          <w:szCs w:val="18"/>
        </w:rPr>
        <w:t>VBC can provide rapid dissemination of info</w:t>
      </w:r>
      <w:r w:rsidR="00867745" w:rsidRPr="00EE6AE5">
        <w:rPr>
          <w:rFonts w:ascii="Arial" w:hAnsi="Arial" w:cs="Arial"/>
          <w:color w:val="58595C"/>
          <w:sz w:val="18"/>
          <w:szCs w:val="18"/>
        </w:rPr>
        <w:t>rmation and feedback exchange to develop new clinical pathways.</w:t>
      </w:r>
    </w:p>
    <w:p w14:paraId="7B0D6459" w14:textId="39BFB15A" w:rsidR="00867745" w:rsidRPr="00A66EC9" w:rsidRDefault="00EE6AE5" w:rsidP="00B60C4F">
      <w:pPr>
        <w:pStyle w:val="ListParagraph"/>
        <w:numPr>
          <w:ilvl w:val="0"/>
          <w:numId w:val="3"/>
        </w:numPr>
        <w:spacing w:before="173"/>
        <w:rPr>
          <w:rFonts w:ascii="Arial" w:hAnsi="Arial" w:cs="Arial"/>
          <w:color w:val="58595C"/>
          <w:sz w:val="20"/>
          <w:szCs w:val="20"/>
        </w:rPr>
      </w:pPr>
      <w:r w:rsidRPr="00EE6AE5">
        <w:rPr>
          <w:rFonts w:ascii="Arial" w:hAnsi="Arial" w:cs="Arial"/>
          <w:color w:val="58595C"/>
          <w:sz w:val="18"/>
          <w:szCs w:val="18"/>
          <w:u w:val="single"/>
        </w:rPr>
        <w:t>Engagement and cost management</w:t>
      </w:r>
      <w:r w:rsidRPr="00EE6AE5">
        <w:rPr>
          <w:rFonts w:ascii="Arial" w:hAnsi="Arial" w:cs="Arial"/>
          <w:color w:val="58595C"/>
          <w:sz w:val="18"/>
          <w:szCs w:val="18"/>
        </w:rPr>
        <w:t xml:space="preserve">. </w:t>
      </w:r>
      <w:r w:rsidR="00867745" w:rsidRPr="00EE6AE5">
        <w:rPr>
          <w:rFonts w:ascii="Arial" w:hAnsi="Arial" w:cs="Arial"/>
          <w:color w:val="58595C"/>
          <w:sz w:val="18"/>
          <w:szCs w:val="18"/>
        </w:rPr>
        <w:t xml:space="preserve">Adopting VBC, will allow specialists to </w:t>
      </w:r>
      <w:r w:rsidRPr="00EE6AE5">
        <w:rPr>
          <w:rFonts w:ascii="Arial" w:hAnsi="Arial" w:cs="Arial"/>
          <w:color w:val="58595C"/>
          <w:sz w:val="18"/>
          <w:szCs w:val="18"/>
        </w:rPr>
        <w:t xml:space="preserve">demonstrate continuously improving </w:t>
      </w:r>
      <w:r w:rsidR="00867745" w:rsidRPr="00EE6AE5">
        <w:rPr>
          <w:rFonts w:ascii="Arial" w:hAnsi="Arial" w:cs="Arial"/>
          <w:color w:val="58595C"/>
          <w:sz w:val="18"/>
          <w:szCs w:val="18"/>
        </w:rPr>
        <w:t xml:space="preserve">patient care </w:t>
      </w:r>
      <w:r w:rsidRPr="00EE6AE5">
        <w:rPr>
          <w:rFonts w:ascii="Arial" w:hAnsi="Arial" w:cs="Arial"/>
          <w:color w:val="58595C"/>
          <w:sz w:val="18"/>
          <w:szCs w:val="18"/>
        </w:rPr>
        <w:t xml:space="preserve">outcomes and savings </w:t>
      </w:r>
      <w:r w:rsidR="00867745" w:rsidRPr="00EE6AE5">
        <w:rPr>
          <w:rFonts w:ascii="Arial" w:hAnsi="Arial" w:cs="Arial"/>
          <w:color w:val="58595C"/>
          <w:sz w:val="18"/>
          <w:szCs w:val="18"/>
        </w:rPr>
        <w:t>but also potentially enhance financial rewards by shared</w:t>
      </w:r>
      <w:r w:rsidR="00867745" w:rsidRPr="00A66EC9">
        <w:rPr>
          <w:rFonts w:ascii="Arial" w:hAnsi="Arial" w:cs="Arial"/>
          <w:color w:val="58595C"/>
          <w:sz w:val="20"/>
          <w:szCs w:val="20"/>
        </w:rPr>
        <w:t xml:space="preserve"> savings and other revenue enhancements.</w:t>
      </w:r>
    </w:p>
    <w:p w14:paraId="4BCFABF5" w14:textId="77777777" w:rsidR="00720F71" w:rsidRPr="00A66EC9" w:rsidRDefault="00720F71" w:rsidP="00B60C4F">
      <w:pPr>
        <w:spacing w:before="173"/>
        <w:rPr>
          <w:rFonts w:ascii="Arial" w:hAnsi="Arial" w:cs="Arial"/>
          <w:b/>
          <w:color w:val="58595C"/>
          <w:sz w:val="20"/>
          <w:szCs w:val="20"/>
        </w:rPr>
      </w:pPr>
    </w:p>
    <w:p w14:paraId="7904B8FB" w14:textId="77777777" w:rsidR="00B60C4F" w:rsidRPr="00A66EC9" w:rsidRDefault="00B60C4F" w:rsidP="00B60C4F">
      <w:pPr>
        <w:spacing w:before="173"/>
        <w:rPr>
          <w:rFonts w:ascii="Arial" w:hAnsi="Arial" w:cs="Arial"/>
          <w:b/>
          <w:color w:val="58595C"/>
          <w:sz w:val="20"/>
          <w:szCs w:val="20"/>
        </w:rPr>
      </w:pPr>
      <w:r w:rsidRPr="00A66EC9">
        <w:rPr>
          <w:rFonts w:ascii="Arial" w:hAnsi="Arial" w:cs="Arial"/>
          <w:b/>
          <w:color w:val="58595C"/>
          <w:sz w:val="20"/>
          <w:szCs w:val="20"/>
        </w:rPr>
        <w:t>What should specialists do now if they might want to join Trinsic in the future?</w:t>
      </w:r>
    </w:p>
    <w:p w14:paraId="4539735D" w14:textId="1903940A" w:rsidR="00121568" w:rsidRPr="00EE6AE5" w:rsidRDefault="00EE6AE5" w:rsidP="00121568">
      <w:pPr>
        <w:pStyle w:val="ListParagraph"/>
        <w:numPr>
          <w:ilvl w:val="0"/>
          <w:numId w:val="8"/>
        </w:numPr>
        <w:rPr>
          <w:rFonts w:ascii="Arial" w:hAnsi="Arial" w:cs="Arial"/>
          <w:color w:val="58595C"/>
          <w:sz w:val="18"/>
          <w:szCs w:val="18"/>
        </w:rPr>
      </w:pPr>
      <w:r w:rsidRPr="00EE6AE5">
        <w:rPr>
          <w:rFonts w:ascii="Arial" w:hAnsi="Arial" w:cs="Arial"/>
          <w:color w:val="58595C"/>
          <w:sz w:val="18"/>
          <w:szCs w:val="18"/>
          <w:u w:val="single"/>
        </w:rPr>
        <w:t>Specialists should assess where they’re at in their own value-based journey against the success factors for value-based care</w:t>
      </w:r>
      <w:r w:rsidRPr="00EE6AE5">
        <w:rPr>
          <w:rFonts w:ascii="Arial" w:hAnsi="Arial" w:cs="Arial"/>
          <w:color w:val="58595C"/>
          <w:sz w:val="18"/>
          <w:szCs w:val="18"/>
        </w:rPr>
        <w:t xml:space="preserve">. </w:t>
      </w:r>
      <w:r w:rsidR="00121568" w:rsidRPr="00EE6AE5">
        <w:rPr>
          <w:rFonts w:ascii="Arial" w:hAnsi="Arial" w:cs="Arial"/>
          <w:color w:val="58595C"/>
          <w:sz w:val="18"/>
          <w:szCs w:val="18"/>
        </w:rPr>
        <w:t>To succeed in value-based arrangements, provider organizations must consistently deliver high-quality care, earn excellent patient experience ratings, continually ratchet down the costs of care, and prove it with metrics that their payers agree to use.</w:t>
      </w:r>
    </w:p>
    <w:p w14:paraId="480B8C21" w14:textId="3F647BB7" w:rsidR="00121568" w:rsidRPr="00EE6AE5" w:rsidRDefault="00EE6AE5" w:rsidP="00121568">
      <w:pPr>
        <w:pStyle w:val="ListParagraph"/>
        <w:numPr>
          <w:ilvl w:val="0"/>
          <w:numId w:val="8"/>
        </w:numPr>
        <w:rPr>
          <w:rFonts w:ascii="Arial" w:hAnsi="Arial" w:cs="Arial"/>
          <w:color w:val="58595C"/>
          <w:sz w:val="18"/>
          <w:szCs w:val="18"/>
        </w:rPr>
      </w:pPr>
      <w:r w:rsidRPr="00EE6AE5">
        <w:rPr>
          <w:rFonts w:ascii="Arial" w:hAnsi="Arial" w:cs="Arial"/>
          <w:color w:val="58595C"/>
          <w:sz w:val="18"/>
          <w:szCs w:val="18"/>
          <w:u w:val="single"/>
        </w:rPr>
        <w:t>Specialists can evaluate internal opportunities and begin to execute on them</w:t>
      </w:r>
      <w:r w:rsidRPr="00EE6AE5">
        <w:rPr>
          <w:rFonts w:ascii="Arial" w:hAnsi="Arial" w:cs="Arial"/>
          <w:color w:val="58595C"/>
          <w:sz w:val="18"/>
          <w:szCs w:val="18"/>
        </w:rPr>
        <w:t>.  L</w:t>
      </w:r>
      <w:r w:rsidR="00121568" w:rsidRPr="00EE6AE5">
        <w:rPr>
          <w:rFonts w:ascii="Arial" w:hAnsi="Arial" w:cs="Arial"/>
          <w:color w:val="58595C"/>
          <w:sz w:val="18"/>
          <w:szCs w:val="18"/>
        </w:rPr>
        <w:t>ook at ways to improve quality, improve patient experience while lowering the cost of care.  Setting up ways to track this information will be vital.</w:t>
      </w:r>
    </w:p>
    <w:p w14:paraId="1F8E6910" w14:textId="77777777" w:rsidR="003729D4" w:rsidRPr="00EE6AE5" w:rsidRDefault="003729D4" w:rsidP="003729D4">
      <w:pPr>
        <w:pStyle w:val="ListParagraph"/>
        <w:tabs>
          <w:tab w:val="left" w:pos="487"/>
        </w:tabs>
        <w:spacing w:before="86" w:line="271" w:lineRule="auto"/>
        <w:ind w:right="211" w:firstLine="0"/>
        <w:rPr>
          <w:rFonts w:ascii="Arial" w:hAnsi="Arial" w:cs="Arial"/>
          <w:color w:val="58595C"/>
          <w:sz w:val="18"/>
          <w:szCs w:val="18"/>
        </w:rPr>
      </w:pPr>
    </w:p>
    <w:p w14:paraId="356142A3" w14:textId="77777777" w:rsidR="003069AE" w:rsidRPr="00A66EC9" w:rsidRDefault="003069AE" w:rsidP="003729D4">
      <w:pPr>
        <w:pStyle w:val="BodyText"/>
        <w:spacing w:before="8"/>
        <w:rPr>
          <w:rFonts w:ascii="Arial" w:hAnsi="Arial" w:cs="Arial"/>
          <w:b/>
          <w:color w:val="58595C"/>
          <w:sz w:val="20"/>
          <w:szCs w:val="20"/>
        </w:rPr>
      </w:pPr>
      <w:r w:rsidRPr="00A66EC9">
        <w:rPr>
          <w:rFonts w:ascii="Arial" w:hAnsi="Arial" w:cs="Arial"/>
          <w:b/>
          <w:color w:val="58595C"/>
          <w:sz w:val="20"/>
          <w:szCs w:val="20"/>
        </w:rPr>
        <w:t>Which con</w:t>
      </w:r>
      <w:r w:rsidR="00C12C19" w:rsidRPr="00A66EC9">
        <w:rPr>
          <w:rFonts w:ascii="Arial" w:hAnsi="Arial" w:cs="Arial"/>
          <w:b/>
          <w:color w:val="58595C"/>
          <w:sz w:val="20"/>
          <w:szCs w:val="20"/>
        </w:rPr>
        <w:t xml:space="preserve">tracts will be part of Trinsic </w:t>
      </w:r>
      <w:r w:rsidRPr="00A66EC9">
        <w:rPr>
          <w:rFonts w:ascii="Arial" w:hAnsi="Arial" w:cs="Arial"/>
          <w:b/>
          <w:color w:val="58595C"/>
          <w:sz w:val="20"/>
          <w:szCs w:val="20"/>
        </w:rPr>
        <w:t>when it officially launches in January, 2024?</w:t>
      </w:r>
      <w:r w:rsidR="00C12C19" w:rsidRPr="00A66EC9">
        <w:rPr>
          <w:rFonts w:ascii="Arial" w:hAnsi="Arial" w:cs="Arial"/>
          <w:b/>
          <w:color w:val="58595C"/>
          <w:sz w:val="20"/>
          <w:szCs w:val="20"/>
        </w:rPr>
        <w:t xml:space="preserve">  </w:t>
      </w:r>
    </w:p>
    <w:p w14:paraId="6F46270D" w14:textId="77777777" w:rsidR="00720F71" w:rsidRPr="00A66EC9" w:rsidRDefault="00720F71" w:rsidP="003729D4">
      <w:pPr>
        <w:pStyle w:val="BodyText"/>
        <w:spacing w:before="8"/>
        <w:rPr>
          <w:rFonts w:ascii="Arial" w:hAnsi="Arial" w:cs="Arial"/>
          <w:b/>
          <w:color w:val="58595C"/>
          <w:sz w:val="20"/>
          <w:szCs w:val="20"/>
        </w:rPr>
      </w:pPr>
    </w:p>
    <w:p w14:paraId="715514A2" w14:textId="3AC96507" w:rsidR="00720F71" w:rsidRPr="00A66EC9" w:rsidRDefault="00720F71" w:rsidP="003729D4">
      <w:pPr>
        <w:pStyle w:val="BodyText"/>
        <w:spacing w:before="8"/>
        <w:rPr>
          <w:rFonts w:ascii="Arial" w:hAnsi="Arial" w:cs="Arial"/>
          <w:color w:val="58595C"/>
          <w:sz w:val="20"/>
          <w:szCs w:val="20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To join Trinsic, participating providers must agree to participate in all appropriate/available Value-Based contracts held by the network in at least on</w:t>
      </w:r>
      <w:r w:rsidR="00EE6AE5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e of the categories: Commercial or</w:t>
      </w:r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 xml:space="preserve"> Medicar</w:t>
      </w:r>
      <w:r w:rsidR="00EE6AE5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 xml:space="preserve">e Advantage </w:t>
      </w:r>
    </w:p>
    <w:p w14:paraId="68056EE1" w14:textId="77777777" w:rsidR="00B116F7" w:rsidRPr="00A66EC9" w:rsidRDefault="00B116F7" w:rsidP="003729D4">
      <w:pPr>
        <w:pStyle w:val="BodyText"/>
        <w:spacing w:before="8"/>
        <w:rPr>
          <w:rFonts w:ascii="Arial" w:hAnsi="Arial" w:cs="Arial"/>
          <w:color w:val="58595C"/>
          <w:sz w:val="20"/>
          <w:szCs w:val="20"/>
        </w:rPr>
      </w:pPr>
    </w:p>
    <w:p w14:paraId="337B9A76" w14:textId="77777777" w:rsidR="00C12C19" w:rsidRPr="00A66EC9" w:rsidRDefault="000C169F" w:rsidP="003729D4">
      <w:pPr>
        <w:widowControl/>
        <w:autoSpaceDE/>
        <w:autoSpaceDN/>
        <w:spacing w:line="264" w:lineRule="auto"/>
        <w:ind w:left="720"/>
        <w:rPr>
          <w:rFonts w:ascii="Arial" w:eastAsia="Calibri" w:hAnsi="Arial" w:cs="Arial"/>
          <w:bCs/>
          <w:i/>
          <w:color w:val="58595C"/>
          <w:sz w:val="20"/>
          <w:szCs w:val="20"/>
          <w:lang w:bidi="ar-SA"/>
        </w:rPr>
      </w:pPr>
      <w:r w:rsidRPr="00A66EC9">
        <w:rPr>
          <w:rFonts w:ascii="Arial" w:eastAsia="Calibri" w:hAnsi="Arial" w:cs="Arial"/>
          <w:bCs/>
          <w:i/>
          <w:color w:val="58595C"/>
          <w:sz w:val="20"/>
          <w:szCs w:val="20"/>
          <w:lang w:bidi="ar-SA"/>
        </w:rPr>
        <w:t>(</w:t>
      </w:r>
      <w:r w:rsidR="003F34D7" w:rsidRPr="00A66EC9">
        <w:rPr>
          <w:rFonts w:ascii="Arial" w:hAnsi="Arial" w:cs="Arial"/>
          <w:i/>
          <w:color w:val="58595C"/>
          <w:sz w:val="20"/>
          <w:szCs w:val="20"/>
        </w:rPr>
        <w:t>some plans may change due to ongoing negotiations</w:t>
      </w:r>
      <w:r w:rsidRPr="00A66EC9">
        <w:rPr>
          <w:rFonts w:ascii="Arial" w:hAnsi="Arial" w:cs="Arial"/>
          <w:i/>
          <w:color w:val="58595C"/>
          <w:sz w:val="20"/>
          <w:szCs w:val="20"/>
        </w:rPr>
        <w:t>).</w:t>
      </w:r>
    </w:p>
    <w:p w14:paraId="27E169D9" w14:textId="77777777" w:rsidR="00B116F7" w:rsidRPr="00A66EC9" w:rsidRDefault="00B116F7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u w:val="single"/>
          <w:lang w:bidi="ar-SA"/>
        </w:rPr>
      </w:pPr>
    </w:p>
    <w:p w14:paraId="0DA68087" w14:textId="77777777" w:rsidR="00C12C19" w:rsidRPr="00A66EC9" w:rsidRDefault="00C12C19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u w:val="single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u w:val="single"/>
          <w:lang w:bidi="ar-SA"/>
        </w:rPr>
        <w:t>Commercial</w:t>
      </w:r>
    </w:p>
    <w:p w14:paraId="479D7496" w14:textId="77777777" w:rsidR="00C12C19" w:rsidRPr="00A66EC9" w:rsidRDefault="00C12C19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-Aetna</w:t>
      </w:r>
    </w:p>
    <w:p w14:paraId="7E8E8B82" w14:textId="77777777" w:rsidR="003F34D7" w:rsidRPr="00A66EC9" w:rsidRDefault="000C169F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-</w:t>
      </w:r>
      <w:r w:rsidR="003F34D7"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Anthem BCBS</w:t>
      </w:r>
    </w:p>
    <w:p w14:paraId="3D8B0572" w14:textId="77777777" w:rsidR="00C12C19" w:rsidRPr="00A66EC9" w:rsidRDefault="00C12C19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-Cigna</w:t>
      </w:r>
    </w:p>
    <w:p w14:paraId="195CACA0" w14:textId="77777777" w:rsidR="00C12C19" w:rsidRPr="00A66EC9" w:rsidRDefault="00C12C19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-Select Health (individual Exchange plans -- 2024)</w:t>
      </w:r>
    </w:p>
    <w:p w14:paraId="1357312C" w14:textId="77777777" w:rsidR="005D39FC" w:rsidRPr="00A66EC9" w:rsidRDefault="005D39FC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-</w:t>
      </w:r>
      <w:proofErr w:type="spellStart"/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UnitedHealthcare</w:t>
      </w:r>
      <w:proofErr w:type="spellEnd"/>
    </w:p>
    <w:p w14:paraId="13061D8F" w14:textId="77777777" w:rsidR="00C12C19" w:rsidRPr="00A66EC9" w:rsidRDefault="00C12C19" w:rsidP="00C12C19">
      <w:pPr>
        <w:widowControl/>
        <w:autoSpaceDE/>
        <w:autoSpaceDN/>
        <w:spacing w:line="264" w:lineRule="auto"/>
        <w:rPr>
          <w:rFonts w:ascii="Arial" w:eastAsia="Calibri" w:hAnsi="Arial" w:cs="Arial"/>
          <w:bCs/>
          <w:color w:val="58595C"/>
          <w:sz w:val="20"/>
          <w:szCs w:val="20"/>
          <w:lang w:bidi="ar-SA"/>
        </w:rPr>
      </w:pPr>
    </w:p>
    <w:p w14:paraId="6CA8AFBE" w14:textId="77777777" w:rsidR="00C12C19" w:rsidRPr="00A66EC9" w:rsidRDefault="00C12C19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u w:val="single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u w:val="single"/>
          <w:lang w:bidi="ar-SA"/>
        </w:rPr>
        <w:t>Medicare Advantage</w:t>
      </w:r>
    </w:p>
    <w:p w14:paraId="1E6B0017" w14:textId="77777777" w:rsidR="00C12C19" w:rsidRPr="00A66EC9" w:rsidRDefault="00C12C19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-Aetna</w:t>
      </w:r>
    </w:p>
    <w:p w14:paraId="09EF33C6" w14:textId="77777777" w:rsidR="00C12C19" w:rsidRPr="00A66EC9" w:rsidRDefault="00C12C19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-Anthem BCBS</w:t>
      </w:r>
    </w:p>
    <w:p w14:paraId="38A1D5FF" w14:textId="77777777" w:rsidR="00C12C19" w:rsidRPr="00A66EC9" w:rsidRDefault="00C12C19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-Cigna</w:t>
      </w:r>
    </w:p>
    <w:p w14:paraId="339B71C7" w14:textId="77777777" w:rsidR="00C12C19" w:rsidRPr="00A66EC9" w:rsidRDefault="00C12C19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-Humana</w:t>
      </w:r>
    </w:p>
    <w:p w14:paraId="6D68A679" w14:textId="77777777" w:rsidR="00C12C19" w:rsidRPr="00A66EC9" w:rsidRDefault="00C12C19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-Select Health (2024)</w:t>
      </w:r>
    </w:p>
    <w:p w14:paraId="62C75F39" w14:textId="77777777" w:rsidR="00C12C19" w:rsidRPr="00A66EC9" w:rsidRDefault="00C12C19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-</w:t>
      </w:r>
      <w:proofErr w:type="spellStart"/>
      <w:r w:rsidRPr="00A66EC9">
        <w:rPr>
          <w:rFonts w:ascii="Arial" w:eastAsia="Calibri" w:hAnsi="Arial" w:cs="Arial"/>
          <w:bCs/>
          <w:color w:val="58595C"/>
          <w:sz w:val="20"/>
          <w:szCs w:val="20"/>
          <w:lang w:bidi="ar-SA"/>
        </w:rPr>
        <w:t>UnitedHealthcare</w:t>
      </w:r>
      <w:proofErr w:type="spellEnd"/>
    </w:p>
    <w:p w14:paraId="159D03DF" w14:textId="77777777" w:rsidR="00C12C19" w:rsidRPr="00A66EC9" w:rsidRDefault="00C12C19" w:rsidP="00C12C19">
      <w:pPr>
        <w:widowControl/>
        <w:autoSpaceDE/>
        <w:autoSpaceDN/>
        <w:spacing w:line="264" w:lineRule="auto"/>
        <w:rPr>
          <w:rFonts w:ascii="Arial" w:eastAsia="Calibri" w:hAnsi="Arial" w:cs="Arial"/>
          <w:bCs/>
          <w:color w:val="58595C"/>
          <w:sz w:val="20"/>
          <w:szCs w:val="20"/>
          <w:u w:val="single"/>
          <w:lang w:bidi="ar-SA"/>
        </w:rPr>
      </w:pPr>
    </w:p>
    <w:p w14:paraId="43AA46A5" w14:textId="77777777" w:rsidR="00C12C19" w:rsidRPr="00A66EC9" w:rsidRDefault="00C12C19" w:rsidP="005553A7">
      <w:pPr>
        <w:widowControl/>
        <w:autoSpaceDE/>
        <w:autoSpaceDN/>
        <w:spacing w:line="264" w:lineRule="auto"/>
        <w:ind w:firstLine="720"/>
        <w:rPr>
          <w:rFonts w:ascii="Arial" w:eastAsia="Calibri" w:hAnsi="Arial" w:cs="Arial"/>
          <w:bCs/>
          <w:color w:val="58595C"/>
          <w:sz w:val="20"/>
          <w:szCs w:val="20"/>
          <w:u w:val="single"/>
          <w:lang w:bidi="ar-SA"/>
        </w:rPr>
      </w:pPr>
      <w:r w:rsidRPr="00A66EC9">
        <w:rPr>
          <w:rFonts w:ascii="Arial" w:eastAsia="Calibri" w:hAnsi="Arial" w:cs="Arial"/>
          <w:bCs/>
          <w:color w:val="58595C"/>
          <w:sz w:val="20"/>
          <w:szCs w:val="20"/>
          <w:u w:val="single"/>
          <w:lang w:bidi="ar-SA"/>
        </w:rPr>
        <w:t>-Original Medicare (MSSP)</w:t>
      </w:r>
    </w:p>
    <w:p w14:paraId="76651077" w14:textId="77777777" w:rsidR="00720F71" w:rsidRPr="00A66EC9" w:rsidRDefault="00720F71" w:rsidP="005553A7">
      <w:pPr>
        <w:widowControl/>
        <w:autoSpaceDE/>
        <w:autoSpaceDN/>
        <w:spacing w:line="264" w:lineRule="auto"/>
        <w:ind w:left="720"/>
        <w:rPr>
          <w:rFonts w:ascii="Arial" w:eastAsia="Calibri" w:hAnsi="Arial" w:cs="Arial"/>
          <w:b/>
          <w:color w:val="58595C"/>
          <w:sz w:val="20"/>
          <w:szCs w:val="20"/>
          <w:lang w:bidi="ar-SA"/>
        </w:rPr>
      </w:pPr>
    </w:p>
    <w:p w14:paraId="1E358DFC" w14:textId="77777777" w:rsidR="00C12C19" w:rsidRPr="00A66EC9" w:rsidRDefault="00C12C19" w:rsidP="005553A7">
      <w:pPr>
        <w:widowControl/>
        <w:autoSpaceDE/>
        <w:autoSpaceDN/>
        <w:spacing w:line="264" w:lineRule="auto"/>
        <w:ind w:left="720"/>
        <w:rPr>
          <w:rFonts w:ascii="Arial" w:eastAsia="Calibri" w:hAnsi="Arial" w:cs="Arial"/>
          <w:color w:val="58595C"/>
          <w:sz w:val="20"/>
          <w:szCs w:val="20"/>
          <w:lang w:bidi="ar-SA"/>
        </w:rPr>
      </w:pPr>
      <w:r w:rsidRPr="00A66EC9">
        <w:rPr>
          <w:rFonts w:ascii="Arial" w:eastAsia="Calibri" w:hAnsi="Arial" w:cs="Arial"/>
          <w:b/>
          <w:color w:val="58595C"/>
          <w:sz w:val="20"/>
          <w:szCs w:val="20"/>
          <w:lang w:bidi="ar-SA"/>
        </w:rPr>
        <w:t>Note: Trinsic evaluates new and existing contracting opportunities, in accordance with Board approved contracting parameters, on an ong</w:t>
      </w:r>
      <w:r w:rsidR="005D39FC" w:rsidRPr="00A66EC9">
        <w:rPr>
          <w:rFonts w:ascii="Arial" w:eastAsia="Calibri" w:hAnsi="Arial" w:cs="Arial"/>
          <w:b/>
          <w:color w:val="58595C"/>
          <w:sz w:val="20"/>
          <w:szCs w:val="20"/>
          <w:lang w:bidi="ar-SA"/>
        </w:rPr>
        <w:t>oing basis. This</w:t>
      </w:r>
      <w:r w:rsidRPr="00A66EC9">
        <w:rPr>
          <w:rFonts w:ascii="Arial" w:eastAsia="Calibri" w:hAnsi="Arial" w:cs="Arial"/>
          <w:b/>
          <w:color w:val="58595C"/>
          <w:sz w:val="20"/>
          <w:szCs w:val="20"/>
          <w:lang w:bidi="ar-SA"/>
        </w:rPr>
        <w:t xml:space="preserve"> helps to maximize performance and to mitigate risk</w:t>
      </w:r>
      <w:r w:rsidRPr="00A66EC9">
        <w:rPr>
          <w:rFonts w:ascii="Arial" w:eastAsia="Calibri" w:hAnsi="Arial" w:cs="Arial"/>
          <w:color w:val="58595C"/>
          <w:sz w:val="20"/>
          <w:szCs w:val="20"/>
          <w:lang w:bidi="ar-SA"/>
        </w:rPr>
        <w:t>.</w:t>
      </w:r>
    </w:p>
    <w:p w14:paraId="0794AD7B" w14:textId="77777777" w:rsidR="00C12C19" w:rsidRPr="00720F71" w:rsidRDefault="00C12C19" w:rsidP="003069AE">
      <w:pPr>
        <w:tabs>
          <w:tab w:val="left" w:pos="503"/>
        </w:tabs>
        <w:spacing w:before="60" w:line="271" w:lineRule="auto"/>
        <w:ind w:right="423"/>
        <w:rPr>
          <w:rFonts w:ascii="Arial" w:hAnsi="Arial" w:cs="Arial"/>
          <w:b/>
          <w:sz w:val="20"/>
          <w:szCs w:val="20"/>
        </w:rPr>
        <w:sectPr w:rsidR="00C12C19" w:rsidRPr="00720F71">
          <w:type w:val="continuous"/>
          <w:pgSz w:w="12240" w:h="15840"/>
          <w:pgMar w:top="700" w:right="840" w:bottom="0" w:left="680" w:header="720" w:footer="720" w:gutter="0"/>
          <w:cols w:num="2" w:space="720" w:equalWidth="0">
            <w:col w:w="5291" w:space="40"/>
            <w:col w:w="5389"/>
          </w:cols>
        </w:sectPr>
      </w:pPr>
    </w:p>
    <w:p w14:paraId="6DCFEC3F" w14:textId="77777777" w:rsidR="00C9625F" w:rsidRPr="00720F71" w:rsidRDefault="00EC31ED">
      <w:pPr>
        <w:pStyle w:val="BodyText"/>
        <w:rPr>
          <w:rFonts w:ascii="Arial" w:hAnsi="Arial" w:cs="Arial"/>
          <w:sz w:val="20"/>
          <w:szCs w:val="20"/>
        </w:rPr>
      </w:pPr>
      <w:r w:rsidRPr="00720F71">
        <w:rPr>
          <w:rFonts w:ascii="Arial" w:hAnsi="Arial" w:cs="Arial"/>
          <w:noProof/>
          <w:sz w:val="20"/>
          <w:szCs w:val="20"/>
          <w:lang w:bidi="ar-SA"/>
        </w:rPr>
        <w:drawing>
          <wp:anchor distT="0" distB="0" distL="0" distR="0" simplePos="0" relativeHeight="251567104" behindDoc="1" locked="0" layoutInCell="1" allowOverlap="1" wp14:anchorId="6123EF3A" wp14:editId="3A9D71B1">
            <wp:simplePos x="0" y="0"/>
            <wp:positionH relativeFrom="page">
              <wp:posOffset>2382020</wp:posOffset>
            </wp:positionH>
            <wp:positionV relativeFrom="page">
              <wp:posOffset>8495920</wp:posOffset>
            </wp:positionV>
            <wp:extent cx="5390379" cy="15624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379" cy="156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71F4D" w14:textId="77777777" w:rsidR="00C9625F" w:rsidRPr="00720F71" w:rsidRDefault="00C9625F">
      <w:pPr>
        <w:pStyle w:val="BodyText"/>
        <w:rPr>
          <w:rFonts w:ascii="Arial" w:hAnsi="Arial" w:cs="Arial"/>
          <w:sz w:val="20"/>
          <w:szCs w:val="20"/>
        </w:rPr>
      </w:pPr>
    </w:p>
    <w:p w14:paraId="1268B4E7" w14:textId="77777777" w:rsidR="00C9625F" w:rsidRPr="00720F71" w:rsidRDefault="00720F71">
      <w:pPr>
        <w:pStyle w:val="BodyText"/>
        <w:rPr>
          <w:rFonts w:ascii="Arial" w:hAnsi="Arial" w:cs="Arial"/>
          <w:sz w:val="20"/>
          <w:szCs w:val="20"/>
        </w:rPr>
      </w:pPr>
      <w:r w:rsidRPr="00A66EC9">
        <w:rPr>
          <w:rFonts w:ascii="Arial" w:hAnsi="Arial" w:cs="Arial"/>
          <w:color w:val="58595C"/>
          <w:sz w:val="20"/>
          <w:szCs w:val="20"/>
        </w:rPr>
        <w:t xml:space="preserve">To submit a question go to: </w:t>
      </w:r>
      <w:hyperlink r:id="rId6" w:history="1">
        <w:r w:rsidR="008F5214" w:rsidRPr="00E6551B">
          <w:rPr>
            <w:rStyle w:val="Hyperlink"/>
            <w:rFonts w:ascii="Arial" w:hAnsi="Arial" w:cs="Arial"/>
            <w:sz w:val="20"/>
            <w:szCs w:val="20"/>
          </w:rPr>
          <w:t>TrinsicCIN@imail.org</w:t>
        </w:r>
      </w:hyperlink>
    </w:p>
    <w:p w14:paraId="55F0B2EC" w14:textId="186B96B5" w:rsidR="00720F71" w:rsidRPr="00A66EC9" w:rsidRDefault="00EE6AE5">
      <w:pPr>
        <w:pStyle w:val="BodyText"/>
        <w:rPr>
          <w:rFonts w:ascii="Arial" w:hAnsi="Arial" w:cs="Arial"/>
          <w:color w:val="58595C"/>
          <w:sz w:val="20"/>
          <w:szCs w:val="20"/>
        </w:rPr>
      </w:pPr>
      <w:r>
        <w:rPr>
          <w:rFonts w:ascii="Arial" w:hAnsi="Arial" w:cs="Arial"/>
          <w:color w:val="58595C"/>
          <w:sz w:val="20"/>
          <w:szCs w:val="20"/>
        </w:rPr>
        <w:t>For more information</w:t>
      </w:r>
      <w:r w:rsidR="00E24307">
        <w:rPr>
          <w:rFonts w:ascii="Arial" w:hAnsi="Arial" w:cs="Arial"/>
          <w:color w:val="58595C"/>
          <w:sz w:val="20"/>
          <w:szCs w:val="20"/>
        </w:rPr>
        <w:t xml:space="preserve">, </w:t>
      </w:r>
      <w:bookmarkStart w:id="0" w:name="_GoBack"/>
      <w:bookmarkEnd w:id="0"/>
      <w:r>
        <w:rPr>
          <w:rFonts w:ascii="Arial" w:hAnsi="Arial" w:cs="Arial"/>
          <w:color w:val="58595C"/>
          <w:sz w:val="20"/>
          <w:szCs w:val="20"/>
        </w:rPr>
        <w:t xml:space="preserve"> </w:t>
      </w:r>
      <w:r w:rsidR="00720F71" w:rsidRPr="00A66EC9">
        <w:rPr>
          <w:rFonts w:ascii="Arial" w:hAnsi="Arial" w:cs="Arial"/>
          <w:color w:val="58595C"/>
          <w:sz w:val="20"/>
          <w:szCs w:val="20"/>
        </w:rPr>
        <w:t>go to: http</w:t>
      </w:r>
      <w:r w:rsidR="008F5214" w:rsidRPr="00A66EC9">
        <w:rPr>
          <w:rFonts w:ascii="Arial" w:hAnsi="Arial" w:cs="Arial"/>
          <w:color w:val="58595C"/>
          <w:sz w:val="20"/>
          <w:szCs w:val="20"/>
        </w:rPr>
        <w:t>s://</w:t>
      </w:r>
      <w:r w:rsidR="00720F71" w:rsidRPr="00A66EC9">
        <w:rPr>
          <w:rFonts w:ascii="Arial" w:hAnsi="Arial" w:cs="Arial"/>
          <w:color w:val="58595C"/>
          <w:sz w:val="20"/>
          <w:szCs w:val="20"/>
        </w:rPr>
        <w:t>Trinsic.org</w:t>
      </w:r>
    </w:p>
    <w:p w14:paraId="0E0CD9A2" w14:textId="77777777" w:rsidR="00C9625F" w:rsidRPr="00720F71" w:rsidRDefault="00C9625F">
      <w:pPr>
        <w:pStyle w:val="BodyText"/>
        <w:rPr>
          <w:rFonts w:ascii="Arial" w:hAnsi="Arial" w:cs="Arial"/>
          <w:sz w:val="20"/>
          <w:szCs w:val="20"/>
        </w:rPr>
      </w:pPr>
    </w:p>
    <w:p w14:paraId="1E05E3C9" w14:textId="77777777" w:rsidR="00C9625F" w:rsidRPr="00720F71" w:rsidRDefault="00C9625F">
      <w:pPr>
        <w:pStyle w:val="BodyText"/>
        <w:rPr>
          <w:rFonts w:ascii="Arial" w:hAnsi="Arial" w:cs="Arial"/>
          <w:sz w:val="20"/>
          <w:szCs w:val="20"/>
        </w:rPr>
      </w:pPr>
    </w:p>
    <w:p w14:paraId="630057E1" w14:textId="77777777" w:rsidR="00C9625F" w:rsidRPr="003729D4" w:rsidRDefault="00C9625F">
      <w:pPr>
        <w:pStyle w:val="BodyText"/>
        <w:rPr>
          <w:rFonts w:ascii="Arial" w:hAnsi="Arial" w:cs="Arial"/>
          <w:sz w:val="20"/>
          <w:szCs w:val="20"/>
        </w:rPr>
      </w:pPr>
    </w:p>
    <w:p w14:paraId="1F3845FB" w14:textId="77777777" w:rsidR="00C9625F" w:rsidRPr="003729D4" w:rsidRDefault="00C9625F">
      <w:pPr>
        <w:pStyle w:val="BodyText"/>
        <w:rPr>
          <w:rFonts w:ascii="Arial" w:hAnsi="Arial" w:cs="Arial"/>
          <w:sz w:val="20"/>
          <w:szCs w:val="20"/>
        </w:rPr>
      </w:pPr>
    </w:p>
    <w:p w14:paraId="4CE16F98" w14:textId="77777777" w:rsidR="00B3086B" w:rsidRDefault="00B3086B">
      <w:pPr>
        <w:pStyle w:val="BodyText"/>
        <w:spacing w:before="4"/>
        <w:rPr>
          <w:rFonts w:ascii="Arial" w:hAnsi="Arial" w:cs="Arial"/>
          <w:sz w:val="20"/>
          <w:szCs w:val="20"/>
        </w:rPr>
      </w:pPr>
    </w:p>
    <w:p w14:paraId="7F830A02" w14:textId="77777777" w:rsidR="00B3086B" w:rsidRDefault="00B3086B">
      <w:pPr>
        <w:rPr>
          <w:rFonts w:ascii="Arial" w:hAnsi="Arial" w:cs="Arial"/>
          <w:sz w:val="20"/>
          <w:szCs w:val="20"/>
        </w:rPr>
      </w:pPr>
    </w:p>
    <w:sectPr w:rsidR="00B3086B">
      <w:type w:val="continuous"/>
      <w:pgSz w:w="12240" w:h="15840"/>
      <w:pgMar w:top="700" w:right="84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CA9"/>
    <w:multiLevelType w:val="hybridMultilevel"/>
    <w:tmpl w:val="3BE08004"/>
    <w:lvl w:ilvl="0" w:tplc="A63255B6">
      <w:numFmt w:val="bullet"/>
      <w:lvlText w:val="•"/>
      <w:lvlJc w:val="left"/>
      <w:pPr>
        <w:ind w:left="492" w:hanging="225"/>
      </w:pPr>
      <w:rPr>
        <w:rFonts w:ascii="Lucida Sans" w:eastAsia="Lucida Sans" w:hAnsi="Lucida Sans" w:cs="Lucida Sans" w:hint="default"/>
        <w:color w:val="57585B"/>
        <w:w w:val="79"/>
        <w:sz w:val="18"/>
        <w:szCs w:val="18"/>
        <w:lang w:val="en-US" w:eastAsia="en-US" w:bidi="en-US"/>
      </w:rPr>
    </w:lvl>
    <w:lvl w:ilvl="1" w:tplc="818C39FC">
      <w:numFmt w:val="bullet"/>
      <w:lvlText w:val="–"/>
      <w:lvlJc w:val="left"/>
      <w:pPr>
        <w:ind w:left="675" w:hanging="145"/>
      </w:pPr>
      <w:rPr>
        <w:rFonts w:ascii="Lucida Sans" w:eastAsia="Lucida Sans" w:hAnsi="Lucida Sans" w:cs="Lucida Sans" w:hint="default"/>
        <w:color w:val="57585B"/>
        <w:w w:val="80"/>
        <w:sz w:val="18"/>
        <w:szCs w:val="18"/>
        <w:lang w:val="en-US" w:eastAsia="en-US" w:bidi="en-US"/>
      </w:rPr>
    </w:lvl>
    <w:lvl w:ilvl="2" w:tplc="C584EE28">
      <w:numFmt w:val="bullet"/>
      <w:lvlText w:val="•"/>
      <w:lvlJc w:val="left"/>
      <w:pPr>
        <w:ind w:left="1192" w:hanging="145"/>
      </w:pPr>
      <w:rPr>
        <w:rFonts w:hint="default"/>
        <w:lang w:val="en-US" w:eastAsia="en-US" w:bidi="en-US"/>
      </w:rPr>
    </w:lvl>
    <w:lvl w:ilvl="3" w:tplc="2FBE0B32">
      <w:numFmt w:val="bullet"/>
      <w:lvlText w:val="•"/>
      <w:lvlJc w:val="left"/>
      <w:pPr>
        <w:ind w:left="1704" w:hanging="145"/>
      </w:pPr>
      <w:rPr>
        <w:rFonts w:hint="default"/>
        <w:lang w:val="en-US" w:eastAsia="en-US" w:bidi="en-US"/>
      </w:rPr>
    </w:lvl>
    <w:lvl w:ilvl="4" w:tplc="D6A4DABE">
      <w:numFmt w:val="bullet"/>
      <w:lvlText w:val="•"/>
      <w:lvlJc w:val="left"/>
      <w:pPr>
        <w:ind w:left="2216" w:hanging="145"/>
      </w:pPr>
      <w:rPr>
        <w:rFonts w:hint="default"/>
        <w:lang w:val="en-US" w:eastAsia="en-US" w:bidi="en-US"/>
      </w:rPr>
    </w:lvl>
    <w:lvl w:ilvl="5" w:tplc="58FE5BDE">
      <w:numFmt w:val="bullet"/>
      <w:lvlText w:val="•"/>
      <w:lvlJc w:val="left"/>
      <w:pPr>
        <w:ind w:left="2728" w:hanging="145"/>
      </w:pPr>
      <w:rPr>
        <w:rFonts w:hint="default"/>
        <w:lang w:val="en-US" w:eastAsia="en-US" w:bidi="en-US"/>
      </w:rPr>
    </w:lvl>
    <w:lvl w:ilvl="6" w:tplc="C38E9C0A">
      <w:numFmt w:val="bullet"/>
      <w:lvlText w:val="•"/>
      <w:lvlJc w:val="left"/>
      <w:pPr>
        <w:ind w:left="3241" w:hanging="145"/>
      </w:pPr>
      <w:rPr>
        <w:rFonts w:hint="default"/>
        <w:lang w:val="en-US" w:eastAsia="en-US" w:bidi="en-US"/>
      </w:rPr>
    </w:lvl>
    <w:lvl w:ilvl="7" w:tplc="C11E1B06">
      <w:numFmt w:val="bullet"/>
      <w:lvlText w:val="•"/>
      <w:lvlJc w:val="left"/>
      <w:pPr>
        <w:ind w:left="3753" w:hanging="145"/>
      </w:pPr>
      <w:rPr>
        <w:rFonts w:hint="default"/>
        <w:lang w:val="en-US" w:eastAsia="en-US" w:bidi="en-US"/>
      </w:rPr>
    </w:lvl>
    <w:lvl w:ilvl="8" w:tplc="31BA27B4">
      <w:numFmt w:val="bullet"/>
      <w:lvlText w:val="•"/>
      <w:lvlJc w:val="left"/>
      <w:pPr>
        <w:ind w:left="4265" w:hanging="145"/>
      </w:pPr>
      <w:rPr>
        <w:rFonts w:hint="default"/>
        <w:lang w:val="en-US" w:eastAsia="en-US" w:bidi="en-US"/>
      </w:rPr>
    </w:lvl>
  </w:abstractNum>
  <w:abstractNum w:abstractNumId="1" w15:restartNumberingAfterBreak="0">
    <w:nsid w:val="27814477"/>
    <w:multiLevelType w:val="hybridMultilevel"/>
    <w:tmpl w:val="EC6C9DA2"/>
    <w:lvl w:ilvl="0" w:tplc="A63255B6">
      <w:numFmt w:val="bullet"/>
      <w:lvlText w:val="•"/>
      <w:lvlJc w:val="left"/>
      <w:pPr>
        <w:ind w:left="720" w:hanging="360"/>
      </w:pPr>
      <w:rPr>
        <w:rFonts w:ascii="Lucida Sans" w:eastAsia="Lucida Sans" w:hAnsi="Lucida Sans" w:cs="Lucida Sans" w:hint="default"/>
        <w:color w:val="57585B"/>
        <w:w w:val="79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53B"/>
    <w:multiLevelType w:val="hybridMultilevel"/>
    <w:tmpl w:val="9D185100"/>
    <w:lvl w:ilvl="0" w:tplc="A63255B6">
      <w:numFmt w:val="bullet"/>
      <w:lvlText w:val="•"/>
      <w:lvlJc w:val="left"/>
      <w:pPr>
        <w:ind w:left="720" w:hanging="360"/>
      </w:pPr>
      <w:rPr>
        <w:rFonts w:ascii="Lucida Sans" w:eastAsia="Lucida Sans" w:hAnsi="Lucida Sans" w:cs="Lucida Sans" w:hint="default"/>
        <w:color w:val="57585B"/>
        <w:w w:val="79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06E2"/>
    <w:multiLevelType w:val="hybridMultilevel"/>
    <w:tmpl w:val="6BC2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152DD"/>
    <w:multiLevelType w:val="hybridMultilevel"/>
    <w:tmpl w:val="6FFA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80E3B"/>
    <w:multiLevelType w:val="hybridMultilevel"/>
    <w:tmpl w:val="571C35AE"/>
    <w:lvl w:ilvl="0" w:tplc="B02052CE">
      <w:numFmt w:val="bullet"/>
      <w:lvlText w:val="•"/>
      <w:lvlJc w:val="left"/>
      <w:pPr>
        <w:ind w:left="502" w:hanging="234"/>
      </w:pPr>
      <w:rPr>
        <w:rFonts w:ascii="Tahoma" w:eastAsia="Tahoma" w:hAnsi="Tahoma" w:cs="Tahoma" w:hint="default"/>
        <w:b/>
        <w:bCs/>
        <w:color w:val="57585B"/>
        <w:w w:val="78"/>
        <w:sz w:val="18"/>
        <w:szCs w:val="18"/>
        <w:lang w:val="en-US" w:eastAsia="en-US" w:bidi="en-US"/>
      </w:rPr>
    </w:lvl>
    <w:lvl w:ilvl="1" w:tplc="FAAE7338">
      <w:numFmt w:val="bullet"/>
      <w:lvlText w:val="•"/>
      <w:lvlJc w:val="left"/>
      <w:pPr>
        <w:ind w:left="988" w:hanging="234"/>
      </w:pPr>
      <w:rPr>
        <w:rFonts w:hint="default"/>
        <w:lang w:val="en-US" w:eastAsia="en-US" w:bidi="en-US"/>
      </w:rPr>
    </w:lvl>
    <w:lvl w:ilvl="2" w:tplc="B7D26E22">
      <w:numFmt w:val="bullet"/>
      <w:lvlText w:val="•"/>
      <w:lvlJc w:val="left"/>
      <w:pPr>
        <w:ind w:left="1477" w:hanging="234"/>
      </w:pPr>
      <w:rPr>
        <w:rFonts w:hint="default"/>
        <w:lang w:val="en-US" w:eastAsia="en-US" w:bidi="en-US"/>
      </w:rPr>
    </w:lvl>
    <w:lvl w:ilvl="3" w:tplc="67EAD15A">
      <w:numFmt w:val="bullet"/>
      <w:lvlText w:val="•"/>
      <w:lvlJc w:val="left"/>
      <w:pPr>
        <w:ind w:left="1966" w:hanging="234"/>
      </w:pPr>
      <w:rPr>
        <w:rFonts w:hint="default"/>
        <w:lang w:val="en-US" w:eastAsia="en-US" w:bidi="en-US"/>
      </w:rPr>
    </w:lvl>
    <w:lvl w:ilvl="4" w:tplc="08B09AA6">
      <w:numFmt w:val="bullet"/>
      <w:lvlText w:val="•"/>
      <w:lvlJc w:val="left"/>
      <w:pPr>
        <w:ind w:left="2455" w:hanging="234"/>
      </w:pPr>
      <w:rPr>
        <w:rFonts w:hint="default"/>
        <w:lang w:val="en-US" w:eastAsia="en-US" w:bidi="en-US"/>
      </w:rPr>
    </w:lvl>
    <w:lvl w:ilvl="5" w:tplc="68C4A820">
      <w:numFmt w:val="bullet"/>
      <w:lvlText w:val="•"/>
      <w:lvlJc w:val="left"/>
      <w:pPr>
        <w:ind w:left="2944" w:hanging="234"/>
      </w:pPr>
      <w:rPr>
        <w:rFonts w:hint="default"/>
        <w:lang w:val="en-US" w:eastAsia="en-US" w:bidi="en-US"/>
      </w:rPr>
    </w:lvl>
    <w:lvl w:ilvl="6" w:tplc="438807DA">
      <w:numFmt w:val="bullet"/>
      <w:lvlText w:val="•"/>
      <w:lvlJc w:val="left"/>
      <w:pPr>
        <w:ind w:left="3433" w:hanging="234"/>
      </w:pPr>
      <w:rPr>
        <w:rFonts w:hint="default"/>
        <w:lang w:val="en-US" w:eastAsia="en-US" w:bidi="en-US"/>
      </w:rPr>
    </w:lvl>
    <w:lvl w:ilvl="7" w:tplc="8B3C1F4C">
      <w:numFmt w:val="bullet"/>
      <w:lvlText w:val="•"/>
      <w:lvlJc w:val="left"/>
      <w:pPr>
        <w:ind w:left="3922" w:hanging="234"/>
      </w:pPr>
      <w:rPr>
        <w:rFonts w:hint="default"/>
        <w:lang w:val="en-US" w:eastAsia="en-US" w:bidi="en-US"/>
      </w:rPr>
    </w:lvl>
    <w:lvl w:ilvl="8" w:tplc="281C452C">
      <w:numFmt w:val="bullet"/>
      <w:lvlText w:val="•"/>
      <w:lvlJc w:val="left"/>
      <w:pPr>
        <w:ind w:left="4411" w:hanging="234"/>
      </w:pPr>
      <w:rPr>
        <w:rFonts w:hint="default"/>
        <w:lang w:val="en-US" w:eastAsia="en-US" w:bidi="en-US"/>
      </w:rPr>
    </w:lvl>
  </w:abstractNum>
  <w:abstractNum w:abstractNumId="6" w15:restartNumberingAfterBreak="0">
    <w:nsid w:val="4DF502BD"/>
    <w:multiLevelType w:val="hybridMultilevel"/>
    <w:tmpl w:val="8B584140"/>
    <w:lvl w:ilvl="0" w:tplc="A63255B6">
      <w:numFmt w:val="bullet"/>
      <w:lvlText w:val="•"/>
      <w:lvlJc w:val="left"/>
      <w:pPr>
        <w:ind w:left="719" w:hanging="215"/>
      </w:pPr>
      <w:rPr>
        <w:rFonts w:ascii="Lucida Sans" w:eastAsia="Lucida Sans" w:hAnsi="Lucida Sans" w:cs="Lucida Sans" w:hint="default"/>
        <w:color w:val="57585B"/>
        <w:w w:val="79"/>
        <w:sz w:val="18"/>
        <w:szCs w:val="18"/>
        <w:lang w:val="en-US" w:eastAsia="en-US" w:bidi="en-US"/>
      </w:rPr>
    </w:lvl>
    <w:lvl w:ilvl="1" w:tplc="8C2269DA">
      <w:numFmt w:val="bullet"/>
      <w:lvlText w:val="•"/>
      <w:lvlJc w:val="left"/>
      <w:pPr>
        <w:ind w:left="1205" w:hanging="215"/>
      </w:pPr>
      <w:rPr>
        <w:rFonts w:hint="default"/>
        <w:lang w:val="en-US" w:eastAsia="en-US" w:bidi="en-US"/>
      </w:rPr>
    </w:lvl>
    <w:lvl w:ilvl="2" w:tplc="6CB03096">
      <w:numFmt w:val="bullet"/>
      <w:lvlText w:val="•"/>
      <w:lvlJc w:val="left"/>
      <w:pPr>
        <w:ind w:left="1694" w:hanging="215"/>
      </w:pPr>
      <w:rPr>
        <w:rFonts w:hint="default"/>
        <w:lang w:val="en-US" w:eastAsia="en-US" w:bidi="en-US"/>
      </w:rPr>
    </w:lvl>
    <w:lvl w:ilvl="3" w:tplc="74509914">
      <w:numFmt w:val="bullet"/>
      <w:lvlText w:val="•"/>
      <w:lvlJc w:val="left"/>
      <w:pPr>
        <w:ind w:left="2183" w:hanging="215"/>
      </w:pPr>
      <w:rPr>
        <w:rFonts w:hint="default"/>
        <w:lang w:val="en-US" w:eastAsia="en-US" w:bidi="en-US"/>
      </w:rPr>
    </w:lvl>
    <w:lvl w:ilvl="4" w:tplc="F97C9C9E">
      <w:numFmt w:val="bullet"/>
      <w:lvlText w:val="•"/>
      <w:lvlJc w:val="left"/>
      <w:pPr>
        <w:ind w:left="2672" w:hanging="215"/>
      </w:pPr>
      <w:rPr>
        <w:rFonts w:hint="default"/>
        <w:lang w:val="en-US" w:eastAsia="en-US" w:bidi="en-US"/>
      </w:rPr>
    </w:lvl>
    <w:lvl w:ilvl="5" w:tplc="E06C3B48">
      <w:numFmt w:val="bullet"/>
      <w:lvlText w:val="•"/>
      <w:lvlJc w:val="left"/>
      <w:pPr>
        <w:ind w:left="3161" w:hanging="215"/>
      </w:pPr>
      <w:rPr>
        <w:rFonts w:hint="default"/>
        <w:lang w:val="en-US" w:eastAsia="en-US" w:bidi="en-US"/>
      </w:rPr>
    </w:lvl>
    <w:lvl w:ilvl="6" w:tplc="9D4ABDAA">
      <w:numFmt w:val="bullet"/>
      <w:lvlText w:val="•"/>
      <w:lvlJc w:val="left"/>
      <w:pPr>
        <w:ind w:left="3650" w:hanging="215"/>
      </w:pPr>
      <w:rPr>
        <w:rFonts w:hint="default"/>
        <w:lang w:val="en-US" w:eastAsia="en-US" w:bidi="en-US"/>
      </w:rPr>
    </w:lvl>
    <w:lvl w:ilvl="7" w:tplc="DC80CAC6">
      <w:numFmt w:val="bullet"/>
      <w:lvlText w:val="•"/>
      <w:lvlJc w:val="left"/>
      <w:pPr>
        <w:ind w:left="4139" w:hanging="215"/>
      </w:pPr>
      <w:rPr>
        <w:rFonts w:hint="default"/>
        <w:lang w:val="en-US" w:eastAsia="en-US" w:bidi="en-US"/>
      </w:rPr>
    </w:lvl>
    <w:lvl w:ilvl="8" w:tplc="BE44C2FA">
      <w:numFmt w:val="bullet"/>
      <w:lvlText w:val="•"/>
      <w:lvlJc w:val="left"/>
      <w:pPr>
        <w:ind w:left="4628" w:hanging="215"/>
      </w:pPr>
      <w:rPr>
        <w:rFonts w:hint="default"/>
        <w:lang w:val="en-US" w:eastAsia="en-US" w:bidi="en-US"/>
      </w:rPr>
    </w:lvl>
  </w:abstractNum>
  <w:abstractNum w:abstractNumId="7" w15:restartNumberingAfterBreak="0">
    <w:nsid w:val="71A63E4E"/>
    <w:multiLevelType w:val="hybridMultilevel"/>
    <w:tmpl w:val="9AB2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F2A85"/>
    <w:multiLevelType w:val="hybridMultilevel"/>
    <w:tmpl w:val="FA96D6B2"/>
    <w:lvl w:ilvl="0" w:tplc="A63255B6">
      <w:numFmt w:val="bullet"/>
      <w:lvlText w:val="•"/>
      <w:lvlJc w:val="left"/>
      <w:pPr>
        <w:ind w:left="720" w:hanging="360"/>
      </w:pPr>
      <w:rPr>
        <w:rFonts w:ascii="Lucida Sans" w:eastAsia="Lucida Sans" w:hAnsi="Lucida Sans" w:cs="Lucida Sans" w:hint="default"/>
        <w:color w:val="57585B"/>
        <w:w w:val="79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E02F3"/>
    <w:multiLevelType w:val="hybridMultilevel"/>
    <w:tmpl w:val="F1E8D23A"/>
    <w:lvl w:ilvl="0" w:tplc="A63255B6">
      <w:numFmt w:val="bullet"/>
      <w:lvlText w:val="•"/>
      <w:lvlJc w:val="left"/>
      <w:pPr>
        <w:ind w:left="937" w:hanging="360"/>
      </w:pPr>
      <w:rPr>
        <w:rFonts w:ascii="Lucida Sans" w:eastAsia="Lucida Sans" w:hAnsi="Lucida Sans" w:cs="Lucida Sans" w:hint="default"/>
        <w:color w:val="57585B"/>
        <w:w w:val="79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5F"/>
    <w:rsid w:val="00030A10"/>
    <w:rsid w:val="00034AC8"/>
    <w:rsid w:val="000771B6"/>
    <w:rsid w:val="000C169F"/>
    <w:rsid w:val="000D117F"/>
    <w:rsid w:val="001008FD"/>
    <w:rsid w:val="00104EB9"/>
    <w:rsid w:val="00121568"/>
    <w:rsid w:val="001368F8"/>
    <w:rsid w:val="001E20B1"/>
    <w:rsid w:val="003069AE"/>
    <w:rsid w:val="003729D4"/>
    <w:rsid w:val="003F34D7"/>
    <w:rsid w:val="00442F04"/>
    <w:rsid w:val="004937AB"/>
    <w:rsid w:val="005553A7"/>
    <w:rsid w:val="005D39FC"/>
    <w:rsid w:val="00634872"/>
    <w:rsid w:val="006B245A"/>
    <w:rsid w:val="00720F71"/>
    <w:rsid w:val="007324EF"/>
    <w:rsid w:val="007846D6"/>
    <w:rsid w:val="007E3976"/>
    <w:rsid w:val="00867745"/>
    <w:rsid w:val="008F5214"/>
    <w:rsid w:val="00967E87"/>
    <w:rsid w:val="00A4315A"/>
    <w:rsid w:val="00A44872"/>
    <w:rsid w:val="00A47FBD"/>
    <w:rsid w:val="00A66EC9"/>
    <w:rsid w:val="00AB77E2"/>
    <w:rsid w:val="00B116F7"/>
    <w:rsid w:val="00B3086B"/>
    <w:rsid w:val="00B60C4F"/>
    <w:rsid w:val="00BC05D4"/>
    <w:rsid w:val="00C12C19"/>
    <w:rsid w:val="00C658C9"/>
    <w:rsid w:val="00C9625F"/>
    <w:rsid w:val="00D94AC0"/>
    <w:rsid w:val="00DE57F0"/>
    <w:rsid w:val="00E24307"/>
    <w:rsid w:val="00EC31ED"/>
    <w:rsid w:val="00ED1EE6"/>
    <w:rsid w:val="00ED6333"/>
    <w:rsid w:val="00EE6AE5"/>
    <w:rsid w:val="00F86201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80F3"/>
  <w15:docId w15:val="{5C1B6938-957C-4557-BEFC-BB99101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paragraph" w:styleId="Heading1">
    <w:name w:val="heading 1"/>
    <w:basedOn w:val="Normal"/>
    <w:uiPriority w:val="1"/>
    <w:qFormat/>
    <w:pPr>
      <w:ind w:left="226"/>
      <w:outlineLvl w:val="0"/>
    </w:pPr>
    <w:rPr>
      <w:rFonts w:ascii="Tahoma" w:eastAsia="Tahoma" w:hAnsi="Tahoma" w:cs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8"/>
      <w:ind w:left="502" w:hanging="2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315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117F"/>
    <w:rPr>
      <w:rFonts w:ascii="Lucida Sans" w:eastAsia="Lucida Sans" w:hAnsi="Lucida Sans" w:cs="Lucida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nsicCIN@imai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Health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Christine</dc:creator>
  <cp:lastModifiedBy>Walker, Christine</cp:lastModifiedBy>
  <cp:revision>3</cp:revision>
  <dcterms:created xsi:type="dcterms:W3CDTF">2023-10-24T18:59:00Z</dcterms:created>
  <dcterms:modified xsi:type="dcterms:W3CDTF">2023-10-24T18:59:00Z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2023-09-07T00:00:00Z</vt:filetime>
  </property>
</Properties>
</file>